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c61e7b360401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8310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ČEŠKA OSNOVNA ŠKOLA JANA AMOSA KOMENSKOG-ČESKÁ ZÁKLADNÍ ŠKOLA JANA AMOSE KOMENSKÉHODARUVAR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466.119,96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414.472,25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494.558,10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413.263,00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1.209,25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6.611,87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1.069,22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6.611,87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618,4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29.507,36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5.402,62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18,3</w:t>
            </w:r>
          </w:p>
        </w:tc>
      </w:tr>
    </w:tbl>
    <w:p>
      <w:pPr>
        <w:spacing w:before="0" w:after="0"/>
      </w:pPr>
    </w:p>
    <w:p>
      <w:r>
        <w:t xml:space="preserve">Češka osnovna škola J.A. KOMENSKOG  Daruvar svoje poslovanje obavlja u skladu sa Zakonom o odgoju i obrazoavanju u osnovnoj i srednjoj školi (NN 87/08,86/09,92/10,105/10,90/11,5/12,16/12,86/12,126/12,94/13,152/14,07/17,68/18,98/19,64/20,151/22,155/23,156/23 i  154/24 te Statutom škole. Naša ustanova vodi proračunsko računovodstvo sukladno Pravilniku o proračunsko, računovodstvu i planu  (NN 14/21, 158/23, 154/24) i financijske izvještaje sastavlja i predje u skladu sa odredbama Pravilnika o financijskom izvještavanju u proračunskom  računovodstvu (NN 27/22). Na temelju članka 14. Pravilnika o financijskom izvještavanju u proračunskom računovodstvu , Bilješke su dopuna uz financijske izvještaje.</w:t>
      </w:r>
    </w:p>
    <w:p>
      <w:r>
        <w:t xml:space="preserve">Financijski izvještaj za razdoblje 01.01.2026- do 31.03.2026. godine izrađen je u skladu sa Okružnicom  Ministarstva financija  KLASA.400-02/26-01/21 , URABROJ:513-17-01-26-1 od 08. travnja 2026.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466.119,96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414.472,25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88,9</w:t>
            </w:r>
          </w:p>
        </w:tc>
      </w:tr>
    </w:tbl>
    <w:p>
      <w:pPr>
        <w:spacing w:before="0" w:after="0"/>
      </w:pPr>
    </w:p>
    <w:p>
      <w:r>
        <w:t xml:space="preserve">Ukupni prihodi ostvareni u obračunskom razdoblju u iznosu od =414.472,25 eura sastoje se od prihoda za plaće djelatnika , materijalnih prava  i naknade za nezapošljavanje invalida koje su financirane od MZOM-a, plaće  i materijalna prava za produženi boravak (financira grad Daruvar), plaće i materijalnih prava  aistenta faza VII (BBŽ), sredstava za financiranje školske kuhinje od strane MZOM-a , sredstva za sufinanciranje prijevoza učenika sa poteškoćama, (MZOM) ,sredstva za mentorsto (MZOM), refundacije sredstva za putne troškove djelatnika koji sudjeluju u izradi i ocjenjivanju nacionalnih ispita (NCVVO),  sredstava decentralizacije od osnivaČa, sredstava za za projekt školske šeme voća, povrća, mlijeka i mlijećnih proizvoda, sufinanciranje roditelja za boravk djece u produženom boravku,   te dotacije od Saveza Čeha u RH -institucionlna potpora.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436.690,84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371.697,46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85,1</w:t>
            </w:r>
          </w:p>
        </w:tc>
      </w:tr>
    </w:tbl>
    <w:p>
      <w:pPr>
        <w:spacing w:before="0" w:after="0"/>
      </w:pPr>
    </w:p>
    <w:p>
      <w:r>
        <w:t xml:space="preserve">Sredstva ostvarena na kontu 636120 su sredstva plaća, materijalnih prava, naknade za nezapošljavanje invalida , sredstva za voditelje Županiskih stručnih vijeća, sredstva za sufinanciranje prehrane , sredstva za sufinanciranje prijevoza učenika sa poteškoćama, mentorstvo i  sredstva refundirana od Nacionalnog centra za vanjsko vrednovanje za putne troškove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2.956,50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4.777,50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161,6</w:t>
            </w:r>
          </w:p>
        </w:tc>
      </w:tr>
    </w:tbl>
    <w:p>
      <w:pPr>
        <w:spacing w:before="0" w:after="0"/>
      </w:pPr>
    </w:p>
    <w:p>
      <w:r>
        <w:t xml:space="preserve">Prihodi ostvareni na kontu 652642 su prihodi od sufinanciranja roditelja u produženom boravku. Mjesečna cijena produženog boravka je 45,00 eura ili dnevna 2,25 eura. Trenutno imamo 45 -ero djece od prvo do trečeg razreda.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ostvareni na ovom kontu su prihodi od institucionalne potpore i donacije fizičkih osoba.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25.437,23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32.652,29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128,4</w:t>
            </w:r>
          </w:p>
        </w:tc>
      </w:tr>
    </w:tbl>
    <w:p>
      <w:pPr>
        <w:spacing w:before="0" w:after="0"/>
      </w:pPr>
    </w:p>
    <w:p>
      <w:r>
        <w:t xml:space="preserve">Prihodi od nadležnog proračuna su prihodi za redovno poslovanje škole, sufinaciranje produženog boravka, plaće sistenta fazaVII, sredstva za E-tehničara, sredstva za školsku šemu voća, povrća, mlijeka i mlijećnih proizvoda.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1224,4</w:t>
            </w:r>
          </w:p>
        </w:tc>
      </w:tr>
    </w:tbl>
    <w:p>
      <w:pPr>
        <w:spacing w:before="0" w:after="0"/>
      </w:pPr>
    </w:p>
    <w:p>
      <w:r>
        <w:t xml:space="preserve">Za nabavu nefinancijske imovine od osnivača smo dobili sredstva za nabavku stola i mobitela.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494.558,10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413.263,00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83,6</w:t>
            </w:r>
          </w:p>
        </w:tc>
      </w:tr>
    </w:tbl>
    <w:p>
      <w:pPr>
        <w:spacing w:before="0" w:after="0"/>
      </w:pPr>
    </w:p>
    <w:p>
      <w:r>
        <w:t xml:space="preserve">Rashodi poslovanja za tromjesečno obračunsko razdoblje u iznosu od =413.263,00 eura odnose se na plaće  , materijalna prava djelatnika , naknade za nezapošljavanje, mentorstvo, sredstava za voditelje Županijskih stručnih vijeća,  srestva utošena za namjernice u kuhinji  financiranih iz MZOM-a, decentelizacijska sredstva za materijl, energiju, sitan inventar, službenu i radnu odjeću i obuću, razne usluge, članarine i dr. Također su tu sredstva plaća i materijalnih prava u produženom boravku kao i rashodi za materija i ostale potrebštine te plaće i materijalna prava asistenta faza VII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48.781,63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54.917,25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</w:tbl>
    <w:p>
      <w:pPr>
        <w:spacing w:before="0" w:after="0"/>
      </w:pPr>
    </w:p>
    <w:p>
      <w:r>
        <w:t xml:space="preserve">Materijalni rashodi pokazuje povećanje u indeksu od 112,6% zbog povećanja cijena . Utrošena sredstva se odnose na  dnevniceza službena putovanja, naknade za prijevoz na posao i s posla, strućna usavršavanja, uredski materija, sredstva za čišćenje i održavanje , namirnice, električnu energiju, plin, motorni benzin, materijal i djelovi za tekuće i investicijsko održavanje, sitan inventar, službena i radna odjeća iobuća, usluge telefona i mobitela, opskrba vodom, komunalne usluge , i dr.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3.445,52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146,2</w:t>
            </w:r>
          </w:p>
        </w:tc>
      </w:tr>
    </w:tbl>
    <w:p>
      <w:pPr>
        <w:spacing w:before="0" w:after="0"/>
      </w:pPr>
    </w:p>
    <w:p>
      <w:r>
        <w:t xml:space="preserve">Ostali nespomenuti rashodi sastoje se od naknada za nezapošljavanje invalida,  rashoda za materijalne troškove sufinaciranja produženog boravka od osnivača te rashoda protokola (vijenci, svijeće cvijeće isl.)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6,4</w:t>
            </w:r>
          </w:p>
        </w:tc>
      </w:tr>
    </w:tbl>
    <w:p>
      <w:pPr>
        <w:spacing w:before="0" w:after="0"/>
      </w:pPr>
    </w:p>
    <w:p>
      <w:r>
        <w:t xml:space="preserve">Ostali financijski rashodi se odnose na zatezne kamate is poslovnih odnosa.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6.611,87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618,4</w:t>
            </w:r>
          </w:p>
        </w:tc>
      </w:tr>
    </w:tbl>
    <w:p>
      <w:pPr>
        <w:spacing w:before="0" w:after="0"/>
      </w:pPr>
    </w:p>
    <w:p>
      <w:r>
        <w:t xml:space="preserve">Rashodi za nefinancijsku imovinu su utošeni za kupnju perilice, usisavača, stroja za čiščenje, mobitela , printera i stola za potrebe operativnog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29.507,36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5.402,62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18,3</w:t>
            </w:r>
          </w:p>
        </w:tc>
      </w:tr>
    </w:tbl>
    <w:p>
      <w:pPr>
        <w:spacing w:before="0" w:after="0"/>
      </w:pPr>
    </w:p>
    <w:p>
      <w:r>
        <w:t xml:space="preserve">Sučeljavanjem prihoda i rashoda u izvještajnom razdoblju ostvaren je manjak od=5.402.62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- preneseni (šifre 92211+92212-92221-92222)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VP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77.438,90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 prethodne 2025. godine preneseni višak poslovanja je =0,00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- preneseni (šifre 92221+92222-92211-92212)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MP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51.521,05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Preneseni manjak iz 2025. godine je=51.521,05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raspoloživ u sljedećem razdoblju (šifre X005 + '9221-9222' - Y005 - '9222-9221')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47.931,54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Ostvareni višak u izvještajnom razdoblju je =2.090,65 eura i bit će realiziran u budućim razdobljima.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56.923,67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manjak obračunskog razdoblja je =56.923,67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izvještajnom razdoblju imamo zaposlenog jednog asistenta u fazi  VII  i ostvareni su rashodi za plaće i materijalna prava u iznosu od =2.915,60 eura u uprihodovano je =1.685,05 eura. Plaća za ožujak iznosi =1.220,55 eura i splaćena je u travnju 2026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3dbaf9ac234e1c" /></Relationships>
</file>